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3AC56" w14:textId="313157C6" w:rsidR="00DE4057" w:rsidRPr="00BE66F5" w:rsidRDefault="00DE4057" w:rsidP="0059407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512274330"/>
      <w:r w:rsidRPr="00BE66F5">
        <w:rPr>
          <w:rFonts w:asciiTheme="minorHAnsi" w:hAnsiTheme="minorHAnsi" w:cstheme="minorHAnsi"/>
          <w:sz w:val="22"/>
          <w:szCs w:val="22"/>
        </w:rPr>
        <w:t xml:space="preserve">Tisková zpráva CZECH FOREST </w:t>
      </w:r>
      <w:proofErr w:type="spellStart"/>
      <w:r w:rsidRPr="00BE66F5">
        <w:rPr>
          <w:rFonts w:asciiTheme="minorHAnsi" w:hAnsiTheme="minorHAnsi" w:cstheme="minorHAnsi"/>
          <w:sz w:val="22"/>
          <w:szCs w:val="22"/>
        </w:rPr>
        <w:t>think</w:t>
      </w:r>
      <w:proofErr w:type="spellEnd"/>
      <w:r w:rsidRPr="00BE66F5">
        <w:rPr>
          <w:rFonts w:asciiTheme="minorHAnsi" w:hAnsiTheme="minorHAnsi" w:cstheme="minorHAnsi"/>
          <w:sz w:val="22"/>
          <w:szCs w:val="22"/>
        </w:rPr>
        <w:t xml:space="preserve"> tank (</w:t>
      </w:r>
      <w:r w:rsidR="0019498D" w:rsidRPr="00BE66F5">
        <w:rPr>
          <w:rFonts w:asciiTheme="minorHAnsi" w:hAnsiTheme="minorHAnsi" w:cstheme="minorHAnsi"/>
          <w:sz w:val="22"/>
          <w:szCs w:val="22"/>
        </w:rPr>
        <w:t>1</w:t>
      </w:r>
      <w:r w:rsidR="00180AA4">
        <w:rPr>
          <w:rFonts w:asciiTheme="minorHAnsi" w:hAnsiTheme="minorHAnsi" w:cstheme="minorHAnsi"/>
          <w:sz w:val="22"/>
          <w:szCs w:val="22"/>
        </w:rPr>
        <w:t>1</w:t>
      </w:r>
      <w:r w:rsidRPr="00BE66F5">
        <w:rPr>
          <w:rFonts w:asciiTheme="minorHAnsi" w:hAnsiTheme="minorHAnsi" w:cstheme="minorHAnsi"/>
          <w:sz w:val="22"/>
          <w:szCs w:val="22"/>
        </w:rPr>
        <w:t xml:space="preserve">. </w:t>
      </w:r>
      <w:r w:rsidR="00180AA4">
        <w:rPr>
          <w:rFonts w:asciiTheme="minorHAnsi" w:hAnsiTheme="minorHAnsi" w:cstheme="minorHAnsi"/>
          <w:sz w:val="22"/>
          <w:szCs w:val="22"/>
        </w:rPr>
        <w:t>6</w:t>
      </w:r>
      <w:r w:rsidRPr="00BE66F5">
        <w:rPr>
          <w:rFonts w:asciiTheme="minorHAnsi" w:hAnsiTheme="minorHAnsi" w:cstheme="minorHAnsi"/>
          <w:sz w:val="22"/>
          <w:szCs w:val="22"/>
        </w:rPr>
        <w:t>. 201</w:t>
      </w:r>
      <w:r w:rsidR="0038509A" w:rsidRPr="00BE66F5">
        <w:rPr>
          <w:rFonts w:asciiTheme="minorHAnsi" w:hAnsiTheme="minorHAnsi" w:cstheme="minorHAnsi"/>
          <w:sz w:val="22"/>
          <w:szCs w:val="22"/>
        </w:rPr>
        <w:t>9</w:t>
      </w:r>
      <w:r w:rsidRPr="00BE66F5"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2CECB614" w14:textId="77777777" w:rsidR="00665C50" w:rsidRPr="00BE66F5" w:rsidRDefault="00665C50" w:rsidP="0059407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C4DC67" w14:textId="4AE510B7" w:rsidR="00BE66F5" w:rsidRPr="00594073" w:rsidRDefault="00594073" w:rsidP="0059407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9407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VÝŠE KALAMITNÍCH TĚŽEB ZA ROK 2018 UKAZUJE ZÁVAŽNOST SITUACE 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br/>
      </w:r>
      <w:r w:rsidRPr="0059407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I EXTRÉMNÍ NASAZENÍ LESNÍKŮ</w:t>
      </w:r>
    </w:p>
    <w:p w14:paraId="17481E2F" w14:textId="77777777" w:rsidR="00BE66F5" w:rsidRPr="00BE66F5" w:rsidRDefault="00BE66F5" w:rsidP="0059407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44BA9E7B" w14:textId="5725BB8A" w:rsidR="00BE66F5" w:rsidRPr="00BE66F5" w:rsidRDefault="00BE66F5" w:rsidP="00180A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Průměrná roční těžba v českých lesích 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dlouhodobě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pohybuje na úrovni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16,5 mil. m</w:t>
      </w:r>
      <w:r w:rsidRPr="005940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 roce 2018 bylo celkem vytěženo téměř 26 mil. m</w:t>
      </w:r>
      <w:r w:rsidRPr="005940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Bezprecedentní nárůst nahodilých (kalamitních) těžeb na </w:t>
      </w:r>
      <w:r w:rsidR="00A4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90 % veškerých těžeb způsobený zejména suchem a následnou kůrovcovou kalamitou jasně dokládá závažnost dopadů aktuálních klimatických výkyvů na lesy. Nahodilé těžby (kůrovec nebo vítr) do roku 2015 nepřekračovaly 30 % celkových těžeb (s výjimkou let 2007 a 2008 – orkán </w:t>
      </w:r>
      <w:proofErr w:type="spellStart"/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Kyrill</w:t>
      </w:r>
      <w:proofErr w:type="spellEnd"/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) a kůrovcové 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těžby 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představovaly cca 10 % celkových těžeb. V roce 2018 dosáhla nahodilá (kalamitní) těžba téměř 90 % a kůrovcová těžba z toho č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n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ila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téměř 2/3, přičemž podle odhadů CZECH FOREST </w:t>
      </w:r>
      <w:proofErr w:type="spellStart"/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think</w:t>
      </w:r>
      <w:proofErr w:type="spellEnd"/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tank bude podíl vytěžených kůrovcem napadených stromů ještě vyšší, protože nelze jednoduše posoudit, zda důvodem těžby bylo sucho a oslabení porostů nebo následné napadení kůrovci. </w:t>
      </w:r>
    </w:p>
    <w:p w14:paraId="465EB15F" w14:textId="5D98782B" w:rsidR="00BE66F5" w:rsidRPr="00BE66F5" w:rsidRDefault="00BE66F5" w:rsidP="00180A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Celková těžba na úrovni necelých 26 mil. m</w:t>
      </w:r>
      <w:r w:rsidRPr="00594073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3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také jasně dokazuje maximální snahu personálu v lesích bránit navzdory nepříznivým klimatickým podmínkám rozvoji kalamity. V roce 2018 dokázali lesníci zpracovat o 50 % více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94073"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kalamitního dříví</w:t>
      </w:r>
      <w:r w:rsidR="00A424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než je dlouhodob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ý průměr 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celkových </w:t>
      </w:r>
      <w:r w:rsidR="005940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ročních </w:t>
      </w:r>
      <w:r w:rsidRPr="00BE66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těžeb.</w:t>
      </w:r>
    </w:p>
    <w:p w14:paraId="45A149A2" w14:textId="77777777" w:rsidR="00594073" w:rsidRDefault="00594073" w:rsidP="00180AA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C253BEC" w14:textId="678D69A0" w:rsidR="00BE66F5" w:rsidRPr="00BE66F5" w:rsidRDefault="00BE66F5" w:rsidP="00180A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color w:val="000000"/>
          <w:sz w:val="22"/>
          <w:szCs w:val="22"/>
        </w:rPr>
        <w:t>Zveřejněné údaje Českého statistického úřadu o lesnictví v roce 2018, které uvádějí celkovou výši těžeb 25,7 milionů m</w:t>
      </w:r>
      <w:r w:rsidRPr="005940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a z toho 23 milionů m</w:t>
      </w:r>
      <w:r w:rsidRPr="0059407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v tzv. nahodilé (kalamitní) těžbě, dokládají kritickou situaci v lesích. ČSÚ uvádí, že objem kůrovcových těžeb čin</w:t>
      </w:r>
      <w:r w:rsidR="00594073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>13 mil. m</w:t>
      </w:r>
      <w:r w:rsidRPr="00180AA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3 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>a objem živeln</w:t>
      </w:r>
      <w:r w:rsidR="00180AA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kalamity 8 mil. m</w:t>
      </w:r>
      <w:r w:rsidRPr="00180AA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>. Mezi příčiny živeln</w:t>
      </w:r>
      <w:r w:rsidR="00180AA4">
        <w:rPr>
          <w:rFonts w:asciiTheme="minorHAnsi" w:hAnsiTheme="minorHAnsi" w:cstheme="minorHAnsi"/>
          <w:color w:val="000000"/>
          <w:sz w:val="22"/>
          <w:szCs w:val="22"/>
        </w:rPr>
        <w:t>í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ch nahodilých těžeb patří také sucho a lze odhadovat, že jsou v této kategorii významnou měrou zahrnuty i stromy usychající a zároveň napadené kůrovcem. CZECH FOREST </w:t>
      </w:r>
      <w:proofErr w:type="spellStart"/>
      <w:r w:rsidRPr="00BE66F5">
        <w:rPr>
          <w:rFonts w:asciiTheme="minorHAnsi" w:hAnsiTheme="minorHAnsi" w:cstheme="minorHAnsi"/>
          <w:color w:val="000000"/>
          <w:sz w:val="22"/>
          <w:szCs w:val="22"/>
        </w:rPr>
        <w:t>think</w:t>
      </w:r>
      <w:proofErr w:type="spellEnd"/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tank proto odhaduje, že se výše kůrovcových těžeb v roce 2018 výrazně přiblížila běžným ročním celkovým těžbám v posledních 20 letech. V roce 2018 byli vlastníci lesů nuceni vytěžit téměř stejný objem kalamitního dříví, kolik se dříve těžilo v plánovaných – úmyslných těžbách.</w:t>
      </w:r>
    </w:p>
    <w:p w14:paraId="4B78AC1E" w14:textId="77777777" w:rsidR="00BE66F5" w:rsidRPr="00BE66F5" w:rsidRDefault="00BE66F5" w:rsidP="00180A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F6FDD80" w14:textId="6D847B53" w:rsidR="00BE66F5" w:rsidRPr="00BE66F5" w:rsidRDefault="00BE66F5" w:rsidP="00180A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color w:val="000000"/>
          <w:sz w:val="22"/>
          <w:szCs w:val="22"/>
        </w:rPr>
        <w:t>Data ČSÚ potvrzují také extrémní nasazení lesnického personálu, který v podstatně složitějších kalamitních podmínkách dokázal za rok zpracovat 23 mil. m</w:t>
      </w:r>
      <w:r w:rsidRPr="00180AA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kalamitního dříví, což je například dvojnásobek objemu, který bylo nutné zpracovat po orkánu </w:t>
      </w:r>
      <w:proofErr w:type="spellStart"/>
      <w:r w:rsidRPr="00BE66F5">
        <w:rPr>
          <w:rFonts w:asciiTheme="minorHAnsi" w:hAnsiTheme="minorHAnsi" w:cstheme="minorHAnsi"/>
          <w:color w:val="000000"/>
          <w:sz w:val="22"/>
          <w:szCs w:val="22"/>
        </w:rPr>
        <w:t>Kyrill</w:t>
      </w:r>
      <w:proofErr w:type="spellEnd"/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a čtyřnásobek běžných nahodilých těžeb. Zejména dřevorubci, kteří v náročných podmínkách vykonávají fyzicky velice namáhavou a zároveň velmi rizikovou činnost, v mnoha oblastech významně přispívají ke zpomalení kalamity</w:t>
      </w:r>
      <w:r w:rsidR="00180AA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 xml:space="preserve"> a to často na hranici svých fyzických možností. Tato vysoce kvalifikovaná profese si v době největší přírodní katastrofy v ČR zasluh</w:t>
      </w:r>
      <w:r w:rsidR="00180AA4">
        <w:rPr>
          <w:rFonts w:asciiTheme="minorHAnsi" w:hAnsiTheme="minorHAnsi" w:cstheme="minorHAnsi"/>
          <w:color w:val="000000"/>
          <w:sz w:val="22"/>
          <w:szCs w:val="22"/>
        </w:rPr>
        <w:t xml:space="preserve">uje </w:t>
      </w:r>
      <w:r w:rsidRPr="00BE66F5">
        <w:rPr>
          <w:rFonts w:asciiTheme="minorHAnsi" w:hAnsiTheme="minorHAnsi" w:cstheme="minorHAnsi"/>
          <w:color w:val="000000"/>
          <w:sz w:val="22"/>
          <w:szCs w:val="22"/>
        </w:rPr>
        <w:t>společenské uznání i podporu.</w:t>
      </w:r>
    </w:p>
    <w:p w14:paraId="31917934" w14:textId="77777777" w:rsidR="00BE66F5" w:rsidRPr="00BE66F5" w:rsidRDefault="00BE66F5" w:rsidP="00180A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6F5">
        <w:rPr>
          <w:rFonts w:asciiTheme="minorHAnsi" w:hAnsiTheme="minorHAnsi" w:cstheme="minorHAnsi"/>
          <w:color w:val="000000"/>
          <w:sz w:val="22"/>
          <w:szCs w:val="22"/>
        </w:rPr>
        <w:t>Extrémní nároky jsou ovšem kladeny na veškerý personál v lesích. Časově náročné vyhledávání napadených stromů, instalace obranných opatření, těžba, asanace a skládkování, ale i doprava jsou nyní realizovány v největších objemech v naší historii.</w:t>
      </w:r>
    </w:p>
    <w:p w14:paraId="0AAA57CB" w14:textId="77777777" w:rsidR="00180AA4" w:rsidRDefault="00180AA4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699652" w14:textId="63176B98" w:rsidR="00180AA4" w:rsidRDefault="00180AA4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_GoBack"/>
      <w:r>
        <w:rPr>
          <w:noProof/>
          <w:lang w:eastAsia="cs-CZ"/>
        </w:rPr>
        <w:drawing>
          <wp:inline distT="0" distB="0" distL="0" distR="0" wp14:anchorId="14879ABC" wp14:editId="3147E315">
            <wp:extent cx="5124451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01D356-694A-499F-853B-86F546554B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1"/>
    </w:p>
    <w:p w14:paraId="79E8AC80" w14:textId="77777777" w:rsidR="00180AA4" w:rsidRDefault="00180AA4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DD93E6B" w14:textId="77777777" w:rsidR="00180AA4" w:rsidRDefault="00180AA4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080CF7B" w14:textId="6E2EA0BC" w:rsidR="0018251E" w:rsidRPr="00BE66F5" w:rsidRDefault="0018251E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66F5">
        <w:rPr>
          <w:rFonts w:asciiTheme="minorHAnsi" w:hAnsiTheme="minorHAnsi" w:cstheme="minorHAnsi"/>
          <w:i/>
          <w:sz w:val="22"/>
          <w:szCs w:val="22"/>
        </w:rPr>
        <w:t>Ing. Jan Příhoda</w:t>
      </w:r>
    </w:p>
    <w:p w14:paraId="38A44ABF" w14:textId="77777777" w:rsidR="00C90084" w:rsidRPr="00BE66F5" w:rsidRDefault="00C90084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66F5">
        <w:rPr>
          <w:rFonts w:asciiTheme="minorHAnsi" w:hAnsiTheme="minorHAnsi" w:cstheme="minorHAnsi"/>
          <w:i/>
          <w:sz w:val="22"/>
          <w:szCs w:val="22"/>
        </w:rPr>
        <w:t>Předseda CZECH FOREST TT, z.s.</w:t>
      </w:r>
    </w:p>
    <w:p w14:paraId="11D4498C" w14:textId="77777777" w:rsidR="0018251E" w:rsidRPr="00BE66F5" w:rsidRDefault="0018251E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66F5">
        <w:rPr>
          <w:rFonts w:asciiTheme="minorHAnsi" w:hAnsiTheme="minorHAnsi" w:cstheme="minorHAnsi"/>
          <w:i/>
          <w:sz w:val="22"/>
          <w:szCs w:val="22"/>
        </w:rPr>
        <w:t>T: 604 211 167</w:t>
      </w:r>
    </w:p>
    <w:p w14:paraId="18163044" w14:textId="7FB278FF" w:rsidR="0018251E" w:rsidRPr="00BE66F5" w:rsidRDefault="0018251E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66F5">
        <w:rPr>
          <w:rFonts w:asciiTheme="minorHAnsi" w:hAnsiTheme="minorHAnsi" w:cstheme="minorHAnsi"/>
          <w:i/>
          <w:sz w:val="22"/>
          <w:szCs w:val="22"/>
        </w:rPr>
        <w:t xml:space="preserve">E: </w:t>
      </w:r>
      <w:hyperlink r:id="rId8" w:history="1">
        <w:r w:rsidR="00665C50" w:rsidRPr="00BE66F5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info@czechforest.cz</w:t>
        </w:r>
      </w:hyperlink>
    </w:p>
    <w:p w14:paraId="3BB63747" w14:textId="10940312" w:rsidR="00665C50" w:rsidRPr="00BE66F5" w:rsidRDefault="00665C50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9469452" w14:textId="43B4CBE8" w:rsidR="00E92B7A" w:rsidRPr="00BE66F5" w:rsidRDefault="00E92B7A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FF4D04" w14:textId="223A3BBE" w:rsidR="00E92B7A" w:rsidRPr="00BE66F5" w:rsidRDefault="00E92B7A" w:rsidP="00594073">
      <w:pPr>
        <w:spacing w:after="0" w:line="276" w:lineRule="auto"/>
        <w:ind w:left="708" w:hanging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E92B7A" w:rsidRPr="00BE66F5" w:rsidSect="00CE4EF8">
      <w:headerReference w:type="default" r:id="rId9"/>
      <w:pgSz w:w="11906" w:h="16838"/>
      <w:pgMar w:top="1985" w:right="1418" w:bottom="1418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19090" w14:textId="77777777" w:rsidR="00A9553B" w:rsidRDefault="00A9553B" w:rsidP="00C7523E">
      <w:pPr>
        <w:spacing w:before="0" w:after="0" w:line="240" w:lineRule="auto"/>
      </w:pPr>
      <w:r>
        <w:separator/>
      </w:r>
    </w:p>
  </w:endnote>
  <w:endnote w:type="continuationSeparator" w:id="0">
    <w:p w14:paraId="6F41D64A" w14:textId="77777777" w:rsidR="00A9553B" w:rsidRDefault="00A9553B" w:rsidP="00C752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CAC44" w14:textId="77777777" w:rsidR="00A9553B" w:rsidRDefault="00A9553B" w:rsidP="00C7523E">
      <w:pPr>
        <w:spacing w:before="0" w:after="0" w:line="240" w:lineRule="auto"/>
      </w:pPr>
      <w:r>
        <w:separator/>
      </w:r>
    </w:p>
  </w:footnote>
  <w:footnote w:type="continuationSeparator" w:id="0">
    <w:p w14:paraId="1DB08B4E" w14:textId="77777777" w:rsidR="00A9553B" w:rsidRDefault="00A9553B" w:rsidP="00C752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B053" w14:textId="77777777" w:rsidR="008662AC" w:rsidRDefault="00A9720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43B74B" wp14:editId="23DB99A8">
          <wp:simplePos x="0" y="0"/>
          <wp:positionH relativeFrom="column">
            <wp:posOffset>2475230</wp:posOffset>
          </wp:positionH>
          <wp:positionV relativeFrom="paragraph">
            <wp:posOffset>-278130</wp:posOffset>
          </wp:positionV>
          <wp:extent cx="3285490" cy="999490"/>
          <wp:effectExtent l="0" t="0" r="0" b="0"/>
          <wp:wrapTight wrapText="bothSides">
            <wp:wrapPolygon edited="0">
              <wp:start x="0" y="0"/>
              <wp:lineTo x="0" y="20996"/>
              <wp:lineTo x="21416" y="20996"/>
              <wp:lineTo x="214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9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6"/>
    <w:rsid w:val="00030ED2"/>
    <w:rsid w:val="000568CC"/>
    <w:rsid w:val="00062E45"/>
    <w:rsid w:val="000A1AB2"/>
    <w:rsid w:val="00180AA4"/>
    <w:rsid w:val="0018251E"/>
    <w:rsid w:val="0019498D"/>
    <w:rsid w:val="00196F21"/>
    <w:rsid w:val="00250C6F"/>
    <w:rsid w:val="002742AE"/>
    <w:rsid w:val="002748B1"/>
    <w:rsid w:val="00286A88"/>
    <w:rsid w:val="00295C59"/>
    <w:rsid w:val="002B14B0"/>
    <w:rsid w:val="002D034F"/>
    <w:rsid w:val="002E378C"/>
    <w:rsid w:val="00312A6F"/>
    <w:rsid w:val="00321C4E"/>
    <w:rsid w:val="003504A2"/>
    <w:rsid w:val="0036637A"/>
    <w:rsid w:val="0038509A"/>
    <w:rsid w:val="00395304"/>
    <w:rsid w:val="00395374"/>
    <w:rsid w:val="00397CE4"/>
    <w:rsid w:val="003C077B"/>
    <w:rsid w:val="003E29D9"/>
    <w:rsid w:val="003E6EE0"/>
    <w:rsid w:val="0043641B"/>
    <w:rsid w:val="004556F4"/>
    <w:rsid w:val="00465D79"/>
    <w:rsid w:val="004B21A8"/>
    <w:rsid w:val="004C4D2A"/>
    <w:rsid w:val="004C55BC"/>
    <w:rsid w:val="00575AFE"/>
    <w:rsid w:val="0058569C"/>
    <w:rsid w:val="00594073"/>
    <w:rsid w:val="00597F84"/>
    <w:rsid w:val="006409D8"/>
    <w:rsid w:val="006503A7"/>
    <w:rsid w:val="00657046"/>
    <w:rsid w:val="00665C50"/>
    <w:rsid w:val="0066694E"/>
    <w:rsid w:val="006A4193"/>
    <w:rsid w:val="006C2173"/>
    <w:rsid w:val="006C53C2"/>
    <w:rsid w:val="006C564C"/>
    <w:rsid w:val="007125D8"/>
    <w:rsid w:val="007460DE"/>
    <w:rsid w:val="007540C0"/>
    <w:rsid w:val="00793664"/>
    <w:rsid w:val="00797C8C"/>
    <w:rsid w:val="007B1EEA"/>
    <w:rsid w:val="007C77F1"/>
    <w:rsid w:val="007D495C"/>
    <w:rsid w:val="007F1204"/>
    <w:rsid w:val="007F34DE"/>
    <w:rsid w:val="0084168B"/>
    <w:rsid w:val="00853CC8"/>
    <w:rsid w:val="0089344E"/>
    <w:rsid w:val="008A3894"/>
    <w:rsid w:val="00916F66"/>
    <w:rsid w:val="00924A8E"/>
    <w:rsid w:val="00947B53"/>
    <w:rsid w:val="00997AA3"/>
    <w:rsid w:val="009F20D4"/>
    <w:rsid w:val="00A134E6"/>
    <w:rsid w:val="00A31FFA"/>
    <w:rsid w:val="00A32956"/>
    <w:rsid w:val="00A42426"/>
    <w:rsid w:val="00A5015E"/>
    <w:rsid w:val="00A829D9"/>
    <w:rsid w:val="00A9553B"/>
    <w:rsid w:val="00A9720E"/>
    <w:rsid w:val="00AA65B6"/>
    <w:rsid w:val="00AE1C88"/>
    <w:rsid w:val="00B23ED4"/>
    <w:rsid w:val="00B40980"/>
    <w:rsid w:val="00BE66F5"/>
    <w:rsid w:val="00C01623"/>
    <w:rsid w:val="00C7523E"/>
    <w:rsid w:val="00C90084"/>
    <w:rsid w:val="00CA0347"/>
    <w:rsid w:val="00CA5CBD"/>
    <w:rsid w:val="00CB16A6"/>
    <w:rsid w:val="00CC740C"/>
    <w:rsid w:val="00CD2FE4"/>
    <w:rsid w:val="00CF5DF2"/>
    <w:rsid w:val="00D17B18"/>
    <w:rsid w:val="00D5132F"/>
    <w:rsid w:val="00D53991"/>
    <w:rsid w:val="00D74998"/>
    <w:rsid w:val="00D75F23"/>
    <w:rsid w:val="00DB1BEB"/>
    <w:rsid w:val="00DB6198"/>
    <w:rsid w:val="00DE4057"/>
    <w:rsid w:val="00E0374B"/>
    <w:rsid w:val="00E441C0"/>
    <w:rsid w:val="00E51D04"/>
    <w:rsid w:val="00E538E9"/>
    <w:rsid w:val="00E5629F"/>
    <w:rsid w:val="00E92B7A"/>
    <w:rsid w:val="00EB2CD3"/>
    <w:rsid w:val="00EC1FA9"/>
    <w:rsid w:val="00EC621E"/>
    <w:rsid w:val="00EF4578"/>
    <w:rsid w:val="00F06E60"/>
    <w:rsid w:val="00F96C53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4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5B6"/>
    <w:pPr>
      <w:suppressAutoHyphens/>
      <w:spacing w:before="120" w:after="120" w:line="280" w:lineRule="exact"/>
    </w:pPr>
    <w:rPr>
      <w:rFonts w:ascii="Open Sans" w:eastAsia="Times New Roman" w:hAnsi="Open Sans" w:cs="Open Sans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5B6"/>
    <w:rPr>
      <w:rFonts w:ascii="Open Sans" w:eastAsia="Times New Roman" w:hAnsi="Open Sans" w:cs="Open Sans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96F2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7F12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1204"/>
    <w:rPr>
      <w:rFonts w:ascii="Open Sans" w:eastAsia="Times New Roman" w:hAnsi="Open Sans" w:cs="Open Sans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2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204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0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D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D2"/>
    <w:rPr>
      <w:rFonts w:ascii="Open Sans" w:eastAsia="Times New Roman" w:hAnsi="Open Sans" w:cs="Open Sans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D2"/>
    <w:rPr>
      <w:rFonts w:ascii="Open Sans" w:eastAsia="Times New Roman" w:hAnsi="Open Sans" w:cs="Open Sans"/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D495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5C50"/>
    <w:rPr>
      <w:color w:val="605E5C"/>
      <w:shd w:val="clear" w:color="auto" w:fill="E1DFDD"/>
    </w:rPr>
  </w:style>
  <w:style w:type="table" w:customStyle="1" w:styleId="GridTable2">
    <w:name w:val="Grid Table 2"/>
    <w:basedOn w:val="Normlntabulka"/>
    <w:uiPriority w:val="47"/>
    <w:rsid w:val="00665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5132F"/>
    <w:pPr>
      <w:suppressAutoHyphens w:val="0"/>
      <w:spacing w:before="0"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132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5B6"/>
    <w:pPr>
      <w:suppressAutoHyphens/>
      <w:spacing w:before="120" w:after="120" w:line="280" w:lineRule="exact"/>
    </w:pPr>
    <w:rPr>
      <w:rFonts w:ascii="Open Sans" w:eastAsia="Times New Roman" w:hAnsi="Open Sans" w:cs="Open Sans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5B6"/>
    <w:rPr>
      <w:rFonts w:ascii="Open Sans" w:eastAsia="Times New Roman" w:hAnsi="Open Sans" w:cs="Open Sans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96F2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7F12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1204"/>
    <w:rPr>
      <w:rFonts w:ascii="Open Sans" w:eastAsia="Times New Roman" w:hAnsi="Open Sans" w:cs="Open Sans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2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204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0E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ED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ED2"/>
    <w:rPr>
      <w:rFonts w:ascii="Open Sans" w:eastAsia="Times New Roman" w:hAnsi="Open Sans" w:cs="Open Sans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ED2"/>
    <w:rPr>
      <w:rFonts w:ascii="Open Sans" w:eastAsia="Times New Roman" w:hAnsi="Open Sans" w:cs="Open Sans"/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D495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5C50"/>
    <w:rPr>
      <w:color w:val="605E5C"/>
      <w:shd w:val="clear" w:color="auto" w:fill="E1DFDD"/>
    </w:rPr>
  </w:style>
  <w:style w:type="table" w:customStyle="1" w:styleId="GridTable2">
    <w:name w:val="Grid Table 2"/>
    <w:basedOn w:val="Normlntabulka"/>
    <w:uiPriority w:val="47"/>
    <w:rsid w:val="00665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5132F"/>
    <w:pPr>
      <w:suppressAutoHyphens w:val="0"/>
      <w:spacing w:before="0"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13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forest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Těžby v ČR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Celková těžba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List1!$A$2:$A$20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List1!$B$2:$B$20</c:f>
              <c:numCache>
                <c:formatCode>0.00</c:formatCode>
                <c:ptCount val="19"/>
                <c:pt idx="0">
                  <c:v>14.44</c:v>
                </c:pt>
                <c:pt idx="1">
                  <c:v>14.37</c:v>
                </c:pt>
                <c:pt idx="2">
                  <c:v>14.54</c:v>
                </c:pt>
                <c:pt idx="3">
                  <c:v>15.14</c:v>
                </c:pt>
                <c:pt idx="4">
                  <c:v>15.6</c:v>
                </c:pt>
                <c:pt idx="5">
                  <c:v>15.51</c:v>
                </c:pt>
                <c:pt idx="6">
                  <c:v>17.68</c:v>
                </c:pt>
                <c:pt idx="7">
                  <c:v>18.510000000000002</c:v>
                </c:pt>
                <c:pt idx="8">
                  <c:v>16.190000000000001</c:v>
                </c:pt>
                <c:pt idx="9">
                  <c:v>15.5</c:v>
                </c:pt>
                <c:pt idx="10">
                  <c:v>16.739999999999998</c:v>
                </c:pt>
                <c:pt idx="11">
                  <c:v>15.38</c:v>
                </c:pt>
                <c:pt idx="12">
                  <c:v>15.06</c:v>
                </c:pt>
                <c:pt idx="13">
                  <c:v>15.33</c:v>
                </c:pt>
                <c:pt idx="14">
                  <c:v>15.48</c:v>
                </c:pt>
                <c:pt idx="15">
                  <c:v>16.16</c:v>
                </c:pt>
                <c:pt idx="16">
                  <c:v>17.61</c:v>
                </c:pt>
                <c:pt idx="17">
                  <c:v>19.39</c:v>
                </c:pt>
                <c:pt idx="18">
                  <c:v>25.7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853-4AD9-8793-EAD1AEFEBC1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Nahodilá živelní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List1!$A$2:$A$20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List1!$C$2:$C$20</c:f>
              <c:numCache>
                <c:formatCode>0.00</c:formatCode>
                <c:ptCount val="19"/>
                <c:pt idx="0">
                  <c:v>2.39</c:v>
                </c:pt>
                <c:pt idx="1">
                  <c:v>1.49</c:v>
                </c:pt>
                <c:pt idx="2">
                  <c:v>3.38</c:v>
                </c:pt>
                <c:pt idx="3">
                  <c:v>6.12</c:v>
                </c:pt>
                <c:pt idx="4">
                  <c:v>2.7639999999999998</c:v>
                </c:pt>
                <c:pt idx="5">
                  <c:v>2.3029999999999999</c:v>
                </c:pt>
                <c:pt idx="6">
                  <c:v>5.9729999999999999</c:v>
                </c:pt>
                <c:pt idx="7">
                  <c:v>12.651999999999999</c:v>
                </c:pt>
                <c:pt idx="8">
                  <c:v>7.601</c:v>
                </c:pt>
                <c:pt idx="9">
                  <c:v>3.246</c:v>
                </c:pt>
                <c:pt idx="10">
                  <c:v>4.0750000000000002</c:v>
                </c:pt>
                <c:pt idx="11">
                  <c:v>2.17</c:v>
                </c:pt>
                <c:pt idx="12">
                  <c:v>1.7</c:v>
                </c:pt>
                <c:pt idx="13">
                  <c:v>2.2770000000000001</c:v>
                </c:pt>
                <c:pt idx="14">
                  <c:v>2.4550000000000001</c:v>
                </c:pt>
                <c:pt idx="15">
                  <c:v>4.3879999999999999</c:v>
                </c:pt>
                <c:pt idx="16">
                  <c:v>2.6360000000000001</c:v>
                </c:pt>
                <c:pt idx="17">
                  <c:v>4.3449999999999998</c:v>
                </c:pt>
                <c:pt idx="18">
                  <c:v>8.3780000000000001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853-4AD9-8793-EAD1AEFEBC1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Nahodilá hmyzová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List1!$A$2:$A$20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List1!$D$2:$D$20</c:f>
              <c:numCache>
                <c:formatCode>0.00</c:formatCode>
                <c:ptCount val="19"/>
                <c:pt idx="0">
                  <c:v>0.32</c:v>
                </c:pt>
                <c:pt idx="1">
                  <c:v>0.23</c:v>
                </c:pt>
                <c:pt idx="2">
                  <c:v>0.28999999999999998</c:v>
                </c:pt>
                <c:pt idx="3">
                  <c:v>1.26</c:v>
                </c:pt>
                <c:pt idx="4">
                  <c:v>1.268</c:v>
                </c:pt>
                <c:pt idx="5">
                  <c:v>0.98299999999999998</c:v>
                </c:pt>
                <c:pt idx="6">
                  <c:v>1.139</c:v>
                </c:pt>
                <c:pt idx="7">
                  <c:v>1.556</c:v>
                </c:pt>
                <c:pt idx="8">
                  <c:v>2.3149999999999999</c:v>
                </c:pt>
                <c:pt idx="9">
                  <c:v>2.6240000000000001</c:v>
                </c:pt>
                <c:pt idx="10">
                  <c:v>1.788</c:v>
                </c:pt>
                <c:pt idx="11">
                  <c:v>1.054</c:v>
                </c:pt>
                <c:pt idx="12">
                  <c:v>0.78600000000000003</c:v>
                </c:pt>
                <c:pt idx="13">
                  <c:v>1.052</c:v>
                </c:pt>
                <c:pt idx="14">
                  <c:v>1.133</c:v>
                </c:pt>
                <c:pt idx="15">
                  <c:v>2.3090000000000002</c:v>
                </c:pt>
                <c:pt idx="16">
                  <c:v>4.42</c:v>
                </c:pt>
                <c:pt idx="17">
                  <c:v>5.8529999999999998</c:v>
                </c:pt>
                <c:pt idx="18">
                  <c:v>13.058999999999999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853-4AD9-8793-EAD1AEFEB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923392"/>
        <c:axId val="149196736"/>
      </c:lineChart>
      <c:catAx>
        <c:axId val="13292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9196736"/>
        <c:crosses val="autoZero"/>
        <c:auto val="1"/>
        <c:lblAlgn val="ctr"/>
        <c:lblOffset val="100"/>
        <c:noMultiLvlLbl val="0"/>
      </c:catAx>
      <c:valAx>
        <c:axId val="14919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mil. m</a:t>
                </a:r>
                <a:r>
                  <a:rPr lang="en-US" baseline="30000"/>
                  <a:t>3</a:t>
                </a:r>
              </a:p>
            </c:rich>
          </c:tx>
          <c:layout>
            <c:manualLayout>
              <c:xMode val="edge"/>
              <c:yMode val="edge"/>
              <c:x val="1.2391571311736613E-2"/>
              <c:y val="0.3717625400991542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292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Jolana Hubáčková</cp:lastModifiedBy>
  <cp:revision>2</cp:revision>
  <cp:lastPrinted>2019-02-19T08:50:00Z</cp:lastPrinted>
  <dcterms:created xsi:type="dcterms:W3CDTF">2019-06-12T13:27:00Z</dcterms:created>
  <dcterms:modified xsi:type="dcterms:W3CDTF">2019-06-12T13:27:00Z</dcterms:modified>
</cp:coreProperties>
</file>